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B2" w:rsidRPr="00574BC0" w:rsidRDefault="00A135B2" w:rsidP="00574B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C0">
        <w:rPr>
          <w:rFonts w:ascii="Times New Roman" w:hAnsi="Times New Roman" w:cs="Times New Roman"/>
          <w:sz w:val="24"/>
          <w:szCs w:val="24"/>
          <w:highlight w:val="lightGray"/>
        </w:rPr>
        <w:t>CRITERIOS EVALUACIÓN Y CALIFICACIÓN</w:t>
      </w:r>
      <w:r w:rsidR="00574BC0" w:rsidRPr="00574BC0">
        <w:rPr>
          <w:rFonts w:ascii="Times New Roman" w:hAnsi="Times New Roman" w:cs="Times New Roman"/>
          <w:sz w:val="24"/>
          <w:szCs w:val="24"/>
          <w:highlight w:val="lightGray"/>
        </w:rPr>
        <w:t xml:space="preserve"> DEL MÓDULO EMPRESA E INICIATIVA EMPRENDEDORA.</w:t>
      </w:r>
      <w:r w:rsidR="00F2359F">
        <w:rPr>
          <w:rFonts w:ascii="Times New Roman" w:hAnsi="Times New Roman" w:cs="Times New Roman"/>
          <w:sz w:val="24"/>
          <w:szCs w:val="24"/>
          <w:highlight w:val="lightGray"/>
        </w:rPr>
        <w:t xml:space="preserve"> Cf: EMVA.</w:t>
      </w:r>
    </w:p>
    <w:p w:rsidR="00A135B2" w:rsidRPr="00574BC0" w:rsidRDefault="00A135B2" w:rsidP="00574B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BC0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Instrumentos de </w:t>
      </w:r>
      <w:r w:rsidR="00E447AB" w:rsidRPr="00574BC0">
        <w:rPr>
          <w:rFonts w:ascii="Times New Roman" w:hAnsi="Times New Roman" w:cs="Times New Roman"/>
          <w:b/>
          <w:sz w:val="24"/>
          <w:szCs w:val="24"/>
          <w:u w:val="single"/>
        </w:rPr>
        <w:t>Evaluación</w:t>
      </w:r>
      <w:r w:rsidR="0090507A" w:rsidRPr="00574BC0">
        <w:rPr>
          <w:rFonts w:ascii="Times New Roman" w:hAnsi="Times New Roman" w:cs="Times New Roman"/>
          <w:b/>
          <w:sz w:val="24"/>
          <w:szCs w:val="24"/>
          <w:u w:val="single"/>
        </w:rPr>
        <w:t xml:space="preserve"> y </w:t>
      </w:r>
      <w:r w:rsidR="008509A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90507A" w:rsidRPr="00574BC0">
        <w:rPr>
          <w:rFonts w:ascii="Times New Roman" w:hAnsi="Times New Roman" w:cs="Times New Roman"/>
          <w:b/>
          <w:sz w:val="24"/>
          <w:szCs w:val="24"/>
          <w:u w:val="single"/>
        </w:rPr>
        <w:t xml:space="preserve">riterios de </w:t>
      </w:r>
      <w:r w:rsidR="008509A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90507A" w:rsidRPr="00574BC0">
        <w:rPr>
          <w:rFonts w:ascii="Times New Roman" w:hAnsi="Times New Roman" w:cs="Times New Roman"/>
          <w:b/>
          <w:sz w:val="24"/>
          <w:szCs w:val="24"/>
          <w:u w:val="single"/>
        </w:rPr>
        <w:t>alificación:</w:t>
      </w:r>
    </w:p>
    <w:p w:rsidR="00160844" w:rsidRPr="00574BC0" w:rsidRDefault="00160844" w:rsidP="00574B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C0">
        <w:rPr>
          <w:rFonts w:ascii="Times New Roman" w:hAnsi="Times New Roman" w:cs="Times New Roman"/>
          <w:sz w:val="24"/>
          <w:szCs w:val="24"/>
        </w:rPr>
        <w:t>Se realizarán como mínimo una evaluación inicial y tres evaluaciones parciales, así</w:t>
      </w:r>
      <w:r w:rsidR="00276F07">
        <w:rPr>
          <w:rFonts w:ascii="Times New Roman" w:hAnsi="Times New Roman" w:cs="Times New Roman"/>
          <w:sz w:val="24"/>
          <w:szCs w:val="24"/>
        </w:rPr>
        <w:t xml:space="preserve"> </w:t>
      </w:r>
      <w:r w:rsidRPr="00574BC0">
        <w:rPr>
          <w:rFonts w:ascii="Times New Roman" w:hAnsi="Times New Roman" w:cs="Times New Roman"/>
          <w:sz w:val="24"/>
          <w:szCs w:val="24"/>
        </w:rPr>
        <w:t xml:space="preserve">como una evaluación final en </w:t>
      </w:r>
      <w:r w:rsidR="00574BC0">
        <w:rPr>
          <w:rFonts w:ascii="Times New Roman" w:hAnsi="Times New Roman" w:cs="Times New Roman"/>
          <w:sz w:val="24"/>
          <w:szCs w:val="24"/>
        </w:rPr>
        <w:t>j</w:t>
      </w:r>
      <w:r w:rsidRPr="00574BC0">
        <w:rPr>
          <w:rFonts w:ascii="Times New Roman" w:hAnsi="Times New Roman" w:cs="Times New Roman"/>
          <w:sz w:val="24"/>
          <w:szCs w:val="24"/>
        </w:rPr>
        <w:t>unio</w:t>
      </w:r>
      <w:r w:rsidR="00DD5798">
        <w:rPr>
          <w:rFonts w:ascii="Times New Roman" w:hAnsi="Times New Roman" w:cs="Times New Roman"/>
          <w:sz w:val="24"/>
          <w:szCs w:val="24"/>
        </w:rPr>
        <w:t>,</w:t>
      </w:r>
      <w:r w:rsidRPr="00574BC0">
        <w:rPr>
          <w:rFonts w:ascii="Times New Roman" w:hAnsi="Times New Roman" w:cs="Times New Roman"/>
          <w:sz w:val="24"/>
          <w:szCs w:val="24"/>
        </w:rPr>
        <w:t xml:space="preserve"> según marca la normativa para el módulo.</w:t>
      </w:r>
    </w:p>
    <w:p w:rsidR="00160844" w:rsidRPr="00574BC0" w:rsidRDefault="00160844" w:rsidP="00574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C0">
        <w:rPr>
          <w:rFonts w:ascii="Times New Roman" w:hAnsi="Times New Roman" w:cs="Times New Roman"/>
          <w:b/>
          <w:sz w:val="24"/>
          <w:szCs w:val="24"/>
        </w:rPr>
        <w:t>•Observación directa y realización de las actividades</w:t>
      </w:r>
      <w:r w:rsidR="00A42348">
        <w:rPr>
          <w:rFonts w:ascii="Times New Roman" w:hAnsi="Times New Roman" w:cs="Times New Roman"/>
          <w:sz w:val="24"/>
          <w:szCs w:val="24"/>
        </w:rPr>
        <w:t>. E</w:t>
      </w:r>
      <w:r w:rsidRPr="00574BC0">
        <w:rPr>
          <w:rFonts w:ascii="Times New Roman" w:hAnsi="Times New Roman" w:cs="Times New Roman"/>
          <w:sz w:val="24"/>
          <w:szCs w:val="24"/>
        </w:rPr>
        <w:t>n clase se ir</w:t>
      </w:r>
      <w:r w:rsidR="00276F07">
        <w:rPr>
          <w:rFonts w:ascii="Times New Roman" w:hAnsi="Times New Roman" w:cs="Times New Roman"/>
          <w:sz w:val="24"/>
          <w:szCs w:val="24"/>
        </w:rPr>
        <w:t>á</w:t>
      </w:r>
      <w:r w:rsidRPr="00574BC0">
        <w:rPr>
          <w:rFonts w:ascii="Times New Roman" w:hAnsi="Times New Roman" w:cs="Times New Roman"/>
          <w:sz w:val="24"/>
          <w:szCs w:val="24"/>
        </w:rPr>
        <w:t xml:space="preserve"> preguntado al alumnado para comprobar si ha</w:t>
      </w:r>
      <w:bookmarkStart w:id="0" w:name="_GoBack"/>
      <w:bookmarkEnd w:id="0"/>
      <w:r w:rsidRPr="00574BC0">
        <w:rPr>
          <w:rFonts w:ascii="Times New Roman" w:hAnsi="Times New Roman" w:cs="Times New Roman"/>
          <w:sz w:val="24"/>
          <w:szCs w:val="24"/>
        </w:rPr>
        <w:t xml:space="preserve"> realizado las actividades de clase y su corrección. </w:t>
      </w:r>
      <w:r w:rsidR="00DD5798">
        <w:rPr>
          <w:rFonts w:ascii="Times New Roman" w:hAnsi="Times New Roman" w:cs="Times New Roman"/>
          <w:sz w:val="24"/>
          <w:szCs w:val="24"/>
        </w:rPr>
        <w:t xml:space="preserve">Su ponderación supondrá </w:t>
      </w:r>
      <w:r w:rsidRPr="00574BC0">
        <w:rPr>
          <w:rFonts w:ascii="Times New Roman" w:hAnsi="Times New Roman" w:cs="Times New Roman"/>
          <w:sz w:val="24"/>
          <w:szCs w:val="24"/>
        </w:rPr>
        <w:t xml:space="preserve">el </w:t>
      </w:r>
      <w:r w:rsidRPr="00574BC0">
        <w:rPr>
          <w:rFonts w:ascii="Times New Roman" w:hAnsi="Times New Roman" w:cs="Times New Roman"/>
          <w:b/>
          <w:sz w:val="24"/>
          <w:szCs w:val="24"/>
        </w:rPr>
        <w:t>15%</w:t>
      </w:r>
      <w:r w:rsidRPr="00574BC0">
        <w:rPr>
          <w:rFonts w:ascii="Times New Roman" w:hAnsi="Times New Roman" w:cs="Times New Roman"/>
          <w:sz w:val="24"/>
          <w:szCs w:val="24"/>
        </w:rPr>
        <w:t xml:space="preserve"> de la nota.</w:t>
      </w:r>
    </w:p>
    <w:p w:rsidR="002C5E2D" w:rsidRDefault="00160844" w:rsidP="00574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844" w:rsidRPr="00574BC0" w:rsidRDefault="00160844" w:rsidP="00574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C0">
        <w:rPr>
          <w:rFonts w:ascii="Times New Roman" w:hAnsi="Times New Roman" w:cs="Times New Roman"/>
          <w:b/>
          <w:sz w:val="24"/>
          <w:szCs w:val="24"/>
        </w:rPr>
        <w:t>•Entrega en plazo de la libreta</w:t>
      </w:r>
      <w:r w:rsidR="00A42348">
        <w:rPr>
          <w:rFonts w:ascii="Times New Roman" w:hAnsi="Times New Roman" w:cs="Times New Roman"/>
          <w:sz w:val="24"/>
          <w:szCs w:val="24"/>
        </w:rPr>
        <w:t>. E</w:t>
      </w:r>
      <w:r w:rsidR="00574BC0">
        <w:rPr>
          <w:rFonts w:ascii="Times New Roman" w:hAnsi="Times New Roman" w:cs="Times New Roman"/>
          <w:sz w:val="24"/>
          <w:szCs w:val="24"/>
        </w:rPr>
        <w:t xml:space="preserve">n la realización de cada prueba escrita </w:t>
      </w:r>
      <w:r w:rsidRPr="00574BC0">
        <w:rPr>
          <w:rFonts w:ascii="Times New Roman" w:hAnsi="Times New Roman" w:cs="Times New Roman"/>
          <w:sz w:val="24"/>
          <w:szCs w:val="24"/>
        </w:rPr>
        <w:t>se pedirá al alumnado la libreta, para comprobar el seguimiento de las clases, esquemas y actividades realizadas</w:t>
      </w:r>
      <w:r w:rsidR="00574BC0">
        <w:rPr>
          <w:rFonts w:ascii="Times New Roman" w:hAnsi="Times New Roman" w:cs="Times New Roman"/>
          <w:sz w:val="24"/>
          <w:szCs w:val="24"/>
        </w:rPr>
        <w:t>, que correspondan con las unidades incluidas en dicha prueba</w:t>
      </w:r>
      <w:r w:rsidRPr="00574BC0">
        <w:rPr>
          <w:rFonts w:ascii="Times New Roman" w:hAnsi="Times New Roman" w:cs="Times New Roman"/>
          <w:sz w:val="24"/>
          <w:szCs w:val="24"/>
        </w:rPr>
        <w:t xml:space="preserve">. </w:t>
      </w:r>
      <w:r w:rsidR="00A42348">
        <w:rPr>
          <w:rFonts w:ascii="Times New Roman" w:hAnsi="Times New Roman" w:cs="Times New Roman"/>
          <w:sz w:val="24"/>
          <w:szCs w:val="24"/>
        </w:rPr>
        <w:t xml:space="preserve">Su ponderación supondrá </w:t>
      </w:r>
      <w:r w:rsidRPr="00574BC0">
        <w:rPr>
          <w:rFonts w:ascii="Times New Roman" w:hAnsi="Times New Roman" w:cs="Times New Roman"/>
          <w:sz w:val="24"/>
          <w:szCs w:val="24"/>
        </w:rPr>
        <w:t xml:space="preserve">el </w:t>
      </w:r>
      <w:r w:rsidRPr="00574BC0">
        <w:rPr>
          <w:rFonts w:ascii="Times New Roman" w:hAnsi="Times New Roman" w:cs="Times New Roman"/>
          <w:b/>
          <w:sz w:val="24"/>
          <w:szCs w:val="24"/>
        </w:rPr>
        <w:t>5%</w:t>
      </w:r>
      <w:r w:rsidRPr="00574BC0">
        <w:rPr>
          <w:rFonts w:ascii="Times New Roman" w:hAnsi="Times New Roman" w:cs="Times New Roman"/>
          <w:sz w:val="24"/>
          <w:szCs w:val="24"/>
        </w:rPr>
        <w:t xml:space="preserve"> de la nota.</w:t>
      </w:r>
    </w:p>
    <w:p w:rsidR="002C5E2D" w:rsidRDefault="002C5E2D" w:rsidP="00574BC0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844" w:rsidRPr="00574BC0" w:rsidRDefault="00160844" w:rsidP="00574BC0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4BC0">
        <w:rPr>
          <w:rFonts w:ascii="Times New Roman" w:hAnsi="Times New Roman" w:cs="Times New Roman"/>
          <w:b/>
          <w:sz w:val="24"/>
          <w:szCs w:val="24"/>
        </w:rPr>
        <w:t xml:space="preserve">•Pruebas escritas </w:t>
      </w:r>
      <w:r w:rsidRPr="00574BC0">
        <w:rPr>
          <w:rFonts w:ascii="Times New Roman" w:hAnsi="Times New Roman" w:cs="Times New Roman"/>
          <w:sz w:val="24"/>
          <w:szCs w:val="24"/>
        </w:rPr>
        <w:t>(</w:t>
      </w:r>
      <w:r w:rsidR="00582EFC">
        <w:rPr>
          <w:rFonts w:ascii="Times New Roman" w:hAnsi="Times New Roman" w:cs="Times New Roman"/>
          <w:sz w:val="24"/>
          <w:szCs w:val="24"/>
        </w:rPr>
        <w:t>p</w:t>
      </w:r>
      <w:r w:rsidRPr="00574BC0">
        <w:rPr>
          <w:rFonts w:ascii="Times New Roman" w:hAnsi="Times New Roman" w:cs="Times New Roman"/>
          <w:sz w:val="24"/>
          <w:szCs w:val="24"/>
        </w:rPr>
        <w:t xml:space="preserve">odrán ser de cualquier tipo: preguntas cortas, </w:t>
      </w:r>
      <w:r w:rsidR="009E7E84">
        <w:rPr>
          <w:rFonts w:ascii="Times New Roman" w:hAnsi="Times New Roman" w:cs="Times New Roman"/>
          <w:sz w:val="24"/>
          <w:szCs w:val="24"/>
        </w:rPr>
        <w:t>tipo test, resolución de casos prácticos</w:t>
      </w:r>
      <w:r w:rsidRPr="00574BC0">
        <w:rPr>
          <w:rFonts w:ascii="Times New Roman" w:hAnsi="Times New Roman" w:cs="Times New Roman"/>
          <w:sz w:val="24"/>
          <w:szCs w:val="24"/>
        </w:rPr>
        <w:t>…)</w:t>
      </w:r>
      <w:r w:rsidR="00582EFC">
        <w:rPr>
          <w:rFonts w:ascii="Times New Roman" w:hAnsi="Times New Roman" w:cs="Times New Roman"/>
          <w:sz w:val="24"/>
          <w:szCs w:val="24"/>
        </w:rPr>
        <w:t>.</w:t>
      </w:r>
      <w:r w:rsidR="00A42348">
        <w:rPr>
          <w:rFonts w:ascii="Times New Roman" w:hAnsi="Times New Roman" w:cs="Times New Roman"/>
          <w:sz w:val="24"/>
          <w:szCs w:val="24"/>
        </w:rPr>
        <w:t xml:space="preserve"> Su ponderación supondrá </w:t>
      </w:r>
      <w:r w:rsidRPr="00574BC0">
        <w:rPr>
          <w:rFonts w:ascii="Times New Roman" w:hAnsi="Times New Roman" w:cs="Times New Roman"/>
          <w:sz w:val="24"/>
          <w:szCs w:val="24"/>
        </w:rPr>
        <w:t xml:space="preserve">el </w:t>
      </w:r>
      <w:r w:rsidRPr="00574BC0">
        <w:rPr>
          <w:rFonts w:ascii="Times New Roman" w:hAnsi="Times New Roman" w:cs="Times New Roman"/>
          <w:b/>
          <w:sz w:val="24"/>
          <w:szCs w:val="24"/>
        </w:rPr>
        <w:t>50%</w:t>
      </w:r>
      <w:r w:rsidRPr="00574BC0">
        <w:rPr>
          <w:rFonts w:ascii="Times New Roman" w:hAnsi="Times New Roman" w:cs="Times New Roman"/>
          <w:sz w:val="24"/>
          <w:szCs w:val="24"/>
        </w:rPr>
        <w:t xml:space="preserve"> </w:t>
      </w:r>
      <w:r w:rsidR="00A42348">
        <w:rPr>
          <w:rFonts w:ascii="Times New Roman" w:hAnsi="Times New Roman" w:cs="Times New Roman"/>
          <w:sz w:val="24"/>
          <w:szCs w:val="24"/>
        </w:rPr>
        <w:t>de</w:t>
      </w:r>
      <w:r w:rsidRPr="00574BC0">
        <w:rPr>
          <w:rFonts w:ascii="Times New Roman" w:hAnsi="Times New Roman" w:cs="Times New Roman"/>
          <w:sz w:val="24"/>
          <w:szCs w:val="24"/>
        </w:rPr>
        <w:t xml:space="preserve"> la nota de cada evaluación</w:t>
      </w:r>
      <w:r w:rsidR="009E7E84">
        <w:rPr>
          <w:rFonts w:ascii="Times New Roman" w:hAnsi="Times New Roman" w:cs="Times New Roman"/>
          <w:sz w:val="24"/>
          <w:szCs w:val="24"/>
        </w:rPr>
        <w:t>.</w:t>
      </w:r>
    </w:p>
    <w:p w:rsidR="002C5E2D" w:rsidRDefault="002C5E2D" w:rsidP="00574BC0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844" w:rsidRPr="00574BC0" w:rsidRDefault="00160844" w:rsidP="00574BC0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4BC0">
        <w:rPr>
          <w:rFonts w:ascii="Times New Roman" w:hAnsi="Times New Roman" w:cs="Times New Roman"/>
          <w:b/>
          <w:sz w:val="24"/>
          <w:szCs w:val="24"/>
        </w:rPr>
        <w:t>•Plan de empresa.</w:t>
      </w:r>
      <w:r w:rsidRPr="00574BC0">
        <w:rPr>
          <w:rFonts w:ascii="Times New Roman" w:hAnsi="Times New Roman" w:cs="Times New Roman"/>
          <w:sz w:val="24"/>
          <w:szCs w:val="24"/>
        </w:rPr>
        <w:t xml:space="preserve"> </w:t>
      </w:r>
      <w:r w:rsidR="00A42348">
        <w:rPr>
          <w:rFonts w:ascii="Times New Roman" w:hAnsi="Times New Roman" w:cs="Times New Roman"/>
          <w:sz w:val="24"/>
          <w:szCs w:val="24"/>
        </w:rPr>
        <w:t xml:space="preserve">Su ponderación supondrá </w:t>
      </w:r>
      <w:r w:rsidRPr="00574BC0">
        <w:rPr>
          <w:rFonts w:ascii="Times New Roman" w:hAnsi="Times New Roman" w:cs="Times New Roman"/>
          <w:sz w:val="24"/>
          <w:szCs w:val="24"/>
        </w:rPr>
        <w:t xml:space="preserve">el </w:t>
      </w:r>
      <w:r w:rsidRPr="00574BC0">
        <w:rPr>
          <w:rFonts w:ascii="Times New Roman" w:hAnsi="Times New Roman" w:cs="Times New Roman"/>
          <w:b/>
          <w:sz w:val="24"/>
          <w:szCs w:val="24"/>
        </w:rPr>
        <w:t>30%</w:t>
      </w:r>
      <w:r w:rsidRPr="00574BC0">
        <w:rPr>
          <w:rFonts w:ascii="Times New Roman" w:hAnsi="Times New Roman" w:cs="Times New Roman"/>
          <w:sz w:val="24"/>
          <w:szCs w:val="24"/>
        </w:rPr>
        <w:t xml:space="preserve"> </w:t>
      </w:r>
      <w:r w:rsidR="009E7E84">
        <w:rPr>
          <w:rFonts w:ascii="Times New Roman" w:hAnsi="Times New Roman" w:cs="Times New Roman"/>
          <w:sz w:val="24"/>
          <w:szCs w:val="24"/>
        </w:rPr>
        <w:t>de</w:t>
      </w:r>
      <w:r w:rsidRPr="00574BC0">
        <w:rPr>
          <w:rFonts w:ascii="Times New Roman" w:hAnsi="Times New Roman" w:cs="Times New Roman"/>
          <w:sz w:val="24"/>
          <w:szCs w:val="24"/>
        </w:rPr>
        <w:t xml:space="preserve"> la nota de cada evaluación.</w:t>
      </w:r>
      <w:r w:rsidR="0090507A" w:rsidRPr="00574BC0">
        <w:rPr>
          <w:rFonts w:ascii="Times New Roman" w:hAnsi="Times New Roman" w:cs="Times New Roman"/>
          <w:sz w:val="24"/>
          <w:szCs w:val="24"/>
        </w:rPr>
        <w:t xml:space="preserve"> Se realizará por grupos. No se valorará ningún plan de empresa que no se haya trabajado simultáneamente </w:t>
      </w:r>
      <w:r w:rsidR="00582EFC">
        <w:rPr>
          <w:rFonts w:ascii="Times New Roman" w:hAnsi="Times New Roman" w:cs="Times New Roman"/>
          <w:sz w:val="24"/>
          <w:szCs w:val="24"/>
        </w:rPr>
        <w:t>en el aula</w:t>
      </w:r>
      <w:r w:rsidR="0090507A" w:rsidRPr="00574BC0">
        <w:rPr>
          <w:rFonts w:ascii="Times New Roman" w:hAnsi="Times New Roman" w:cs="Times New Roman"/>
          <w:sz w:val="24"/>
          <w:szCs w:val="24"/>
        </w:rPr>
        <w:t xml:space="preserve"> y</w:t>
      </w:r>
      <w:r w:rsidR="00582EFC">
        <w:rPr>
          <w:rFonts w:ascii="Times New Roman" w:hAnsi="Times New Roman" w:cs="Times New Roman"/>
          <w:sz w:val="24"/>
          <w:szCs w:val="24"/>
        </w:rPr>
        <w:t>,</w:t>
      </w:r>
      <w:r w:rsidR="0090507A" w:rsidRPr="00574BC0">
        <w:rPr>
          <w:rFonts w:ascii="Times New Roman" w:hAnsi="Times New Roman" w:cs="Times New Roman"/>
          <w:sz w:val="24"/>
          <w:szCs w:val="24"/>
        </w:rPr>
        <w:t xml:space="preserve"> </w:t>
      </w:r>
      <w:r w:rsidR="00A42348">
        <w:rPr>
          <w:rFonts w:ascii="Times New Roman" w:hAnsi="Times New Roman" w:cs="Times New Roman"/>
          <w:sz w:val="24"/>
          <w:szCs w:val="24"/>
        </w:rPr>
        <w:t xml:space="preserve">además, </w:t>
      </w:r>
      <w:r w:rsidR="0090507A" w:rsidRPr="00574BC0">
        <w:rPr>
          <w:rFonts w:ascii="Times New Roman" w:hAnsi="Times New Roman" w:cs="Times New Roman"/>
          <w:sz w:val="24"/>
          <w:szCs w:val="24"/>
        </w:rPr>
        <w:t>haya sido revisado periódicamente por la profesora. Se entregará en la fecha establecida en clase</w:t>
      </w:r>
      <w:r w:rsidR="00E62848">
        <w:rPr>
          <w:rFonts w:ascii="Times New Roman" w:hAnsi="Times New Roman" w:cs="Times New Roman"/>
          <w:sz w:val="24"/>
          <w:szCs w:val="24"/>
        </w:rPr>
        <w:t xml:space="preserve">. La no entrega de dicho plan de empresa supondrá </w:t>
      </w:r>
      <w:r w:rsidR="00582EFC">
        <w:rPr>
          <w:rFonts w:ascii="Times New Roman" w:hAnsi="Times New Roman" w:cs="Times New Roman"/>
          <w:sz w:val="24"/>
          <w:szCs w:val="24"/>
        </w:rPr>
        <w:t>la no superación de este módulo por parte del alumno</w:t>
      </w:r>
      <w:r w:rsidR="00E62848">
        <w:rPr>
          <w:rFonts w:ascii="Times New Roman" w:hAnsi="Times New Roman" w:cs="Times New Roman"/>
          <w:sz w:val="24"/>
          <w:szCs w:val="24"/>
        </w:rPr>
        <w:t>.</w:t>
      </w:r>
    </w:p>
    <w:p w:rsidR="0013628F" w:rsidRPr="00574BC0" w:rsidRDefault="0013628F" w:rsidP="00574BC0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628F" w:rsidRPr="00574BC0" w:rsidRDefault="0013628F" w:rsidP="00574BC0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4BC0">
        <w:rPr>
          <w:rFonts w:ascii="Times New Roman" w:hAnsi="Times New Roman" w:cs="Times New Roman"/>
          <w:sz w:val="24"/>
          <w:szCs w:val="24"/>
        </w:rPr>
        <w:t xml:space="preserve">Para calcular la nota final por evaluación es imprescindible </w:t>
      </w:r>
      <w:r w:rsidR="00582EFC">
        <w:rPr>
          <w:rFonts w:ascii="Times New Roman" w:hAnsi="Times New Roman" w:cs="Times New Roman"/>
          <w:sz w:val="24"/>
          <w:szCs w:val="24"/>
        </w:rPr>
        <w:t>superar</w:t>
      </w:r>
      <w:r w:rsidRPr="00574BC0">
        <w:rPr>
          <w:rFonts w:ascii="Times New Roman" w:hAnsi="Times New Roman" w:cs="Times New Roman"/>
          <w:sz w:val="24"/>
          <w:szCs w:val="24"/>
        </w:rPr>
        <w:t xml:space="preserve"> la nota de la prueba escrita con un </w:t>
      </w:r>
      <w:r w:rsidR="00582EFC">
        <w:rPr>
          <w:rFonts w:ascii="Times New Roman" w:hAnsi="Times New Roman" w:cs="Times New Roman"/>
          <w:sz w:val="24"/>
          <w:szCs w:val="24"/>
        </w:rPr>
        <w:t xml:space="preserve">mínimo de </w:t>
      </w:r>
      <w:r w:rsidRPr="00574BC0">
        <w:rPr>
          <w:rFonts w:ascii="Times New Roman" w:hAnsi="Times New Roman" w:cs="Times New Roman"/>
          <w:sz w:val="24"/>
          <w:szCs w:val="24"/>
        </w:rPr>
        <w:t>5</w:t>
      </w:r>
      <w:r w:rsidR="00582EFC">
        <w:rPr>
          <w:rFonts w:ascii="Times New Roman" w:hAnsi="Times New Roman" w:cs="Times New Roman"/>
          <w:sz w:val="24"/>
          <w:szCs w:val="24"/>
        </w:rPr>
        <w:t>,</w:t>
      </w:r>
      <w:r w:rsidRPr="00574BC0">
        <w:rPr>
          <w:rFonts w:ascii="Times New Roman" w:hAnsi="Times New Roman" w:cs="Times New Roman"/>
          <w:sz w:val="24"/>
          <w:szCs w:val="24"/>
        </w:rPr>
        <w:t xml:space="preserve"> para poder</w:t>
      </w:r>
      <w:r w:rsidR="00582EFC">
        <w:rPr>
          <w:rFonts w:ascii="Times New Roman" w:hAnsi="Times New Roman" w:cs="Times New Roman"/>
          <w:sz w:val="24"/>
          <w:szCs w:val="24"/>
        </w:rPr>
        <w:t xml:space="preserve"> así,</w:t>
      </w:r>
      <w:r w:rsidRPr="00574BC0">
        <w:rPr>
          <w:rFonts w:ascii="Times New Roman" w:hAnsi="Times New Roman" w:cs="Times New Roman"/>
          <w:sz w:val="24"/>
          <w:szCs w:val="24"/>
        </w:rPr>
        <w:t xml:space="preserve"> sumar los restantes porcentajes </w:t>
      </w:r>
      <w:r w:rsidR="00276F07">
        <w:rPr>
          <w:rFonts w:ascii="Times New Roman" w:hAnsi="Times New Roman" w:cs="Times New Roman"/>
          <w:sz w:val="24"/>
          <w:szCs w:val="24"/>
        </w:rPr>
        <w:t>influyentes</w:t>
      </w:r>
      <w:r w:rsidR="00582EFC">
        <w:rPr>
          <w:rFonts w:ascii="Times New Roman" w:hAnsi="Times New Roman" w:cs="Times New Roman"/>
          <w:sz w:val="24"/>
          <w:szCs w:val="24"/>
        </w:rPr>
        <w:t xml:space="preserve"> en dicha nota</w:t>
      </w:r>
      <w:r w:rsidRPr="00574BC0">
        <w:rPr>
          <w:rFonts w:ascii="Times New Roman" w:hAnsi="Times New Roman" w:cs="Times New Roman"/>
          <w:sz w:val="24"/>
          <w:szCs w:val="24"/>
        </w:rPr>
        <w:t xml:space="preserve"> (actividades, plan de empresa y libreta)</w:t>
      </w:r>
      <w:r w:rsidR="00582EFC">
        <w:rPr>
          <w:rFonts w:ascii="Times New Roman" w:hAnsi="Times New Roman" w:cs="Times New Roman"/>
          <w:sz w:val="24"/>
          <w:szCs w:val="24"/>
        </w:rPr>
        <w:t>.</w:t>
      </w:r>
    </w:p>
    <w:p w:rsidR="00CA4B63" w:rsidRPr="00574BC0" w:rsidRDefault="00CA4B63" w:rsidP="00574BC0">
      <w:pPr>
        <w:pStyle w:val="Encabezado"/>
        <w:tabs>
          <w:tab w:val="clear" w:pos="4252"/>
          <w:tab w:val="clear" w:pos="850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74BC0">
        <w:rPr>
          <w:rFonts w:ascii="Times New Roman" w:hAnsi="Times New Roman"/>
          <w:sz w:val="24"/>
          <w:szCs w:val="24"/>
        </w:rPr>
        <w:t xml:space="preserve">Se restarán 0,1 puntos por cada </w:t>
      </w:r>
      <w:r w:rsidRPr="00574BC0">
        <w:rPr>
          <w:rFonts w:ascii="Times New Roman" w:hAnsi="Times New Roman"/>
          <w:b/>
          <w:sz w:val="24"/>
          <w:szCs w:val="24"/>
        </w:rPr>
        <w:t>falta de ortografía</w:t>
      </w:r>
      <w:r w:rsidRPr="00574BC0">
        <w:rPr>
          <w:rFonts w:ascii="Times New Roman" w:hAnsi="Times New Roman"/>
          <w:sz w:val="24"/>
          <w:szCs w:val="24"/>
        </w:rPr>
        <w:t xml:space="preserve"> </w:t>
      </w:r>
      <w:r w:rsidRPr="00574BC0">
        <w:rPr>
          <w:rFonts w:ascii="Times New Roman" w:hAnsi="Times New Roman"/>
          <w:b/>
          <w:sz w:val="24"/>
          <w:szCs w:val="24"/>
        </w:rPr>
        <w:t>o expresión</w:t>
      </w:r>
      <w:r w:rsidR="0090507A" w:rsidRPr="00574BC0">
        <w:rPr>
          <w:rFonts w:ascii="Times New Roman" w:hAnsi="Times New Roman"/>
          <w:sz w:val="24"/>
          <w:szCs w:val="24"/>
        </w:rPr>
        <w:t xml:space="preserve"> en pruebas escrita</w:t>
      </w:r>
      <w:r w:rsidR="004D7962">
        <w:rPr>
          <w:rFonts w:ascii="Times New Roman" w:hAnsi="Times New Roman"/>
          <w:sz w:val="24"/>
          <w:szCs w:val="24"/>
        </w:rPr>
        <w:t>s</w:t>
      </w:r>
      <w:r w:rsidR="0090507A" w:rsidRPr="00574BC0">
        <w:rPr>
          <w:rFonts w:ascii="Times New Roman" w:hAnsi="Times New Roman"/>
          <w:sz w:val="24"/>
          <w:szCs w:val="24"/>
        </w:rPr>
        <w:t xml:space="preserve"> y plan de empresa</w:t>
      </w:r>
      <w:r w:rsidRPr="00574BC0">
        <w:rPr>
          <w:rFonts w:ascii="Times New Roman" w:hAnsi="Times New Roman"/>
          <w:sz w:val="24"/>
          <w:szCs w:val="24"/>
        </w:rPr>
        <w:t>.</w:t>
      </w:r>
    </w:p>
    <w:p w:rsidR="00A135B2" w:rsidRPr="00574BC0" w:rsidRDefault="007E1D64" w:rsidP="00574BC0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4BC0">
        <w:rPr>
          <w:rFonts w:ascii="Times New Roman" w:hAnsi="Times New Roman" w:cs="Times New Roman"/>
          <w:sz w:val="24"/>
          <w:szCs w:val="24"/>
        </w:rPr>
        <w:t>El proceso de evaluación continua requiere la asistencia regular del alumno. Tal</w:t>
      </w:r>
      <w:r w:rsidR="00574BC0">
        <w:rPr>
          <w:rFonts w:ascii="Times New Roman" w:hAnsi="Times New Roman" w:cs="Times New Roman"/>
          <w:sz w:val="24"/>
          <w:szCs w:val="24"/>
        </w:rPr>
        <w:t xml:space="preserve"> </w:t>
      </w:r>
      <w:r w:rsidRPr="00574BC0">
        <w:rPr>
          <w:rFonts w:ascii="Times New Roman" w:hAnsi="Times New Roman" w:cs="Times New Roman"/>
          <w:sz w:val="24"/>
          <w:szCs w:val="24"/>
        </w:rPr>
        <w:t>y como establece</w:t>
      </w:r>
      <w:r w:rsidR="00574BC0">
        <w:rPr>
          <w:rFonts w:ascii="Times New Roman" w:hAnsi="Times New Roman" w:cs="Times New Roman"/>
          <w:sz w:val="24"/>
          <w:szCs w:val="24"/>
        </w:rPr>
        <w:t xml:space="preserve"> </w:t>
      </w:r>
      <w:r w:rsidRPr="00574BC0">
        <w:rPr>
          <w:rFonts w:ascii="Times New Roman" w:hAnsi="Times New Roman" w:cs="Times New Roman"/>
          <w:sz w:val="24"/>
          <w:szCs w:val="24"/>
        </w:rPr>
        <w:t>el Proyecto de Centro, el alumno o alumna que tenga faltas de</w:t>
      </w:r>
      <w:r w:rsidR="00574BC0">
        <w:rPr>
          <w:rFonts w:ascii="Times New Roman" w:hAnsi="Times New Roman" w:cs="Times New Roman"/>
          <w:sz w:val="24"/>
          <w:szCs w:val="24"/>
        </w:rPr>
        <w:t xml:space="preserve"> </w:t>
      </w:r>
      <w:r w:rsidRPr="00574BC0">
        <w:rPr>
          <w:rFonts w:ascii="Times New Roman" w:hAnsi="Times New Roman" w:cs="Times New Roman"/>
          <w:sz w:val="24"/>
          <w:szCs w:val="24"/>
        </w:rPr>
        <w:t>asistencias y sobrepase el 20% de las faltas del trimestre</w:t>
      </w:r>
      <w:r w:rsidR="009E7E84">
        <w:rPr>
          <w:rFonts w:ascii="Times New Roman" w:hAnsi="Times New Roman" w:cs="Times New Roman"/>
          <w:sz w:val="24"/>
          <w:szCs w:val="24"/>
        </w:rPr>
        <w:t>,</w:t>
      </w:r>
      <w:r w:rsidRPr="00574BC0">
        <w:rPr>
          <w:rFonts w:ascii="Times New Roman" w:hAnsi="Times New Roman" w:cs="Times New Roman"/>
          <w:sz w:val="24"/>
          <w:szCs w:val="24"/>
        </w:rPr>
        <w:t xml:space="preserve"> sin justificar o justificadas</w:t>
      </w:r>
      <w:r w:rsidR="00582EFC">
        <w:rPr>
          <w:rFonts w:ascii="Times New Roman" w:hAnsi="Times New Roman" w:cs="Times New Roman"/>
          <w:sz w:val="24"/>
          <w:szCs w:val="24"/>
        </w:rPr>
        <w:t>,</w:t>
      </w:r>
      <w:r w:rsidR="00574BC0">
        <w:rPr>
          <w:rFonts w:ascii="Times New Roman" w:hAnsi="Times New Roman" w:cs="Times New Roman"/>
          <w:sz w:val="24"/>
          <w:szCs w:val="24"/>
        </w:rPr>
        <w:t xml:space="preserve"> </w:t>
      </w:r>
      <w:r w:rsidRPr="00574BC0">
        <w:rPr>
          <w:rFonts w:ascii="Times New Roman" w:hAnsi="Times New Roman" w:cs="Times New Roman"/>
          <w:sz w:val="24"/>
          <w:szCs w:val="24"/>
        </w:rPr>
        <w:t>perderá el derecho a evaluaci</w:t>
      </w:r>
      <w:r w:rsidR="004D7962">
        <w:rPr>
          <w:rFonts w:ascii="Times New Roman" w:hAnsi="Times New Roman" w:cs="Times New Roman"/>
          <w:sz w:val="24"/>
          <w:szCs w:val="24"/>
        </w:rPr>
        <w:t>ones</w:t>
      </w:r>
      <w:r w:rsidRPr="00574BC0">
        <w:rPr>
          <w:rFonts w:ascii="Times New Roman" w:hAnsi="Times New Roman" w:cs="Times New Roman"/>
          <w:sz w:val="24"/>
          <w:szCs w:val="24"/>
        </w:rPr>
        <w:t xml:space="preserve"> parciales, </w:t>
      </w:r>
      <w:r w:rsidR="00582EFC">
        <w:rPr>
          <w:rFonts w:ascii="Times New Roman" w:hAnsi="Times New Roman" w:cs="Times New Roman"/>
          <w:sz w:val="24"/>
          <w:szCs w:val="24"/>
        </w:rPr>
        <w:t>debiéndose</w:t>
      </w:r>
      <w:r w:rsidR="00183236">
        <w:rPr>
          <w:rFonts w:ascii="Times New Roman" w:hAnsi="Times New Roman" w:cs="Times New Roman"/>
          <w:sz w:val="24"/>
          <w:szCs w:val="24"/>
        </w:rPr>
        <w:t xml:space="preserve"> </w:t>
      </w:r>
      <w:r w:rsidRPr="00574BC0">
        <w:rPr>
          <w:rFonts w:ascii="Times New Roman" w:hAnsi="Times New Roman" w:cs="Times New Roman"/>
          <w:sz w:val="24"/>
          <w:szCs w:val="24"/>
        </w:rPr>
        <w:t xml:space="preserve">presentar </w:t>
      </w:r>
      <w:r w:rsidR="00183236">
        <w:rPr>
          <w:rFonts w:ascii="Times New Roman" w:hAnsi="Times New Roman" w:cs="Times New Roman"/>
          <w:sz w:val="24"/>
          <w:szCs w:val="24"/>
        </w:rPr>
        <w:t>a</w:t>
      </w:r>
      <w:r w:rsidRPr="00574BC0">
        <w:rPr>
          <w:rFonts w:ascii="Times New Roman" w:hAnsi="Times New Roman" w:cs="Times New Roman"/>
          <w:sz w:val="24"/>
          <w:szCs w:val="24"/>
        </w:rPr>
        <w:t xml:space="preserve"> la evaluación final</w:t>
      </w:r>
      <w:r w:rsidR="00574BC0">
        <w:rPr>
          <w:rFonts w:ascii="Times New Roman" w:hAnsi="Times New Roman" w:cs="Times New Roman"/>
          <w:sz w:val="24"/>
          <w:szCs w:val="24"/>
        </w:rPr>
        <w:t xml:space="preserve"> </w:t>
      </w:r>
      <w:r w:rsidRPr="00574BC0">
        <w:rPr>
          <w:rFonts w:ascii="Times New Roman" w:hAnsi="Times New Roman" w:cs="Times New Roman"/>
          <w:sz w:val="24"/>
          <w:szCs w:val="24"/>
        </w:rPr>
        <w:t>del trimestre y realizar un examen teórico-práctico.</w:t>
      </w:r>
      <w:r w:rsidR="00964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64" w:rsidRPr="00574BC0" w:rsidRDefault="007E1D64" w:rsidP="00574BC0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1D64" w:rsidRPr="00574BC0" w:rsidRDefault="007E1D64" w:rsidP="00574B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BC0">
        <w:rPr>
          <w:rFonts w:ascii="Times New Roman" w:hAnsi="Times New Roman" w:cs="Times New Roman"/>
          <w:b/>
          <w:sz w:val="24"/>
          <w:szCs w:val="24"/>
        </w:rPr>
        <w:t>Evaluaciones:</w:t>
      </w:r>
    </w:p>
    <w:p w:rsidR="007E1D64" w:rsidRPr="00574BC0" w:rsidRDefault="007E1D64" w:rsidP="00574BC0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4BC0">
        <w:rPr>
          <w:rFonts w:ascii="Times New Roman" w:hAnsi="Times New Roman" w:cs="Times New Roman"/>
          <w:b/>
          <w:sz w:val="24"/>
          <w:szCs w:val="24"/>
        </w:rPr>
        <w:t xml:space="preserve">•Evaluación </w:t>
      </w:r>
      <w:r w:rsidR="00390418">
        <w:rPr>
          <w:rFonts w:ascii="Times New Roman" w:hAnsi="Times New Roman" w:cs="Times New Roman"/>
          <w:b/>
          <w:sz w:val="24"/>
          <w:szCs w:val="24"/>
        </w:rPr>
        <w:t>I</w:t>
      </w:r>
      <w:r w:rsidRPr="00574BC0">
        <w:rPr>
          <w:rFonts w:ascii="Times New Roman" w:hAnsi="Times New Roman" w:cs="Times New Roman"/>
          <w:b/>
          <w:sz w:val="24"/>
          <w:szCs w:val="24"/>
        </w:rPr>
        <w:t>nicial</w:t>
      </w:r>
      <w:r w:rsidRPr="00574BC0">
        <w:rPr>
          <w:rFonts w:ascii="Times New Roman" w:hAnsi="Times New Roman" w:cs="Times New Roman"/>
          <w:sz w:val="24"/>
          <w:szCs w:val="24"/>
        </w:rPr>
        <w:t xml:space="preserve"> (informativa y orientadora): </w:t>
      </w:r>
      <w:r w:rsidR="00103951">
        <w:rPr>
          <w:rFonts w:ascii="Times New Roman" w:hAnsi="Times New Roman" w:cs="Times New Roman"/>
          <w:sz w:val="24"/>
          <w:szCs w:val="24"/>
        </w:rPr>
        <w:t>s</w:t>
      </w:r>
      <w:r w:rsidRPr="00574BC0">
        <w:rPr>
          <w:rFonts w:ascii="Times New Roman" w:hAnsi="Times New Roman" w:cs="Times New Roman"/>
          <w:sz w:val="24"/>
          <w:szCs w:val="24"/>
        </w:rPr>
        <w:t>e hará mediante la realización de una prueba inicial oral o escrita; además de la observación directa del alumnado y la lectura del informe de tránsito.</w:t>
      </w:r>
    </w:p>
    <w:p w:rsidR="00CE4376" w:rsidRPr="0030447D" w:rsidRDefault="00CE4376" w:rsidP="00CE4376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______________________________________________________________________________</w:t>
      </w:r>
    </w:p>
    <w:p w:rsidR="00CE4376" w:rsidRDefault="00CE4376" w:rsidP="00CE4376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E4376" w:rsidRPr="0030447D" w:rsidRDefault="00CE4376" w:rsidP="00CE4376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>El alumno_____________________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________________ del grupo _____ </w:t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>y curso ______ha recibido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los criterios de evaluación y calificación</w:t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del módulo de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Empresa e Iniciativa emprendedora.</w:t>
      </w:r>
    </w:p>
    <w:p w:rsidR="00964F6C" w:rsidRDefault="00CE4376" w:rsidP="00CE43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Macael</w:t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 ___________________________</w:t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Firma alumno/tutor legal</w:t>
      </w:r>
    </w:p>
    <w:p w:rsidR="008509AB" w:rsidRDefault="008509AB" w:rsidP="00574BC0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9AB" w:rsidRDefault="008509AB" w:rsidP="00574BC0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D64" w:rsidRPr="00574BC0" w:rsidRDefault="007E1D64" w:rsidP="00574BC0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BC0">
        <w:rPr>
          <w:rFonts w:ascii="Times New Roman" w:hAnsi="Times New Roman" w:cs="Times New Roman"/>
          <w:b/>
          <w:sz w:val="24"/>
          <w:szCs w:val="24"/>
        </w:rPr>
        <w:lastRenderedPageBreak/>
        <w:t>•Evaluaci</w:t>
      </w:r>
      <w:r w:rsidR="00390418">
        <w:rPr>
          <w:rFonts w:ascii="Times New Roman" w:hAnsi="Times New Roman" w:cs="Times New Roman"/>
          <w:b/>
          <w:sz w:val="24"/>
          <w:szCs w:val="24"/>
        </w:rPr>
        <w:t>ones Parciales</w:t>
      </w:r>
      <w:r w:rsidR="00C4371A">
        <w:rPr>
          <w:rFonts w:ascii="Times New Roman" w:hAnsi="Times New Roman" w:cs="Times New Roman"/>
          <w:b/>
          <w:sz w:val="24"/>
          <w:szCs w:val="24"/>
        </w:rPr>
        <w:t xml:space="preserve"> (Evaluación continua)</w:t>
      </w:r>
      <w:r w:rsidRPr="00574BC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1563"/>
        <w:gridCol w:w="1415"/>
        <w:gridCol w:w="3186"/>
        <w:gridCol w:w="234"/>
        <w:gridCol w:w="659"/>
        <w:gridCol w:w="2583"/>
      </w:tblGrid>
      <w:tr w:rsidR="007E1D64" w:rsidRPr="00574BC0" w:rsidTr="00964F6C">
        <w:tc>
          <w:tcPr>
            <w:tcW w:w="15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E1D64" w:rsidRPr="00574BC0" w:rsidRDefault="007E1D64" w:rsidP="00574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Evaluaciones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E1D64" w:rsidRPr="00574BC0" w:rsidRDefault="007E1D64" w:rsidP="00574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R.A.</w:t>
            </w:r>
          </w:p>
        </w:tc>
        <w:tc>
          <w:tcPr>
            <w:tcW w:w="4079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E1D64" w:rsidRPr="00574BC0" w:rsidRDefault="007E1D64" w:rsidP="00574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Unidades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E1D64" w:rsidRPr="00574BC0" w:rsidRDefault="007E1D64" w:rsidP="00574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Instrumentos de evaluación y </w:t>
            </w:r>
          </w:p>
          <w:p w:rsidR="007E1D64" w:rsidRPr="00574BC0" w:rsidRDefault="007E1D64" w:rsidP="0057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calificación</w:t>
            </w:r>
          </w:p>
        </w:tc>
      </w:tr>
      <w:tr w:rsidR="00964F6C" w:rsidRPr="00574BC0" w:rsidTr="00CE4376">
        <w:trPr>
          <w:trHeight w:val="575"/>
        </w:trPr>
        <w:tc>
          <w:tcPr>
            <w:tcW w:w="1563" w:type="dxa"/>
            <w:vMerge w:val="restart"/>
            <w:shd w:val="clear" w:color="auto" w:fill="FFFFFF" w:themeFill="background1"/>
            <w:vAlign w:val="center"/>
          </w:tcPr>
          <w:p w:rsidR="00C96FC9" w:rsidRPr="00574BC0" w:rsidRDefault="00964F6C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PRIMERA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96FC9" w:rsidRPr="00574BC0" w:rsidRDefault="00C96FC9" w:rsidP="00964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R.A.</w:t>
            </w:r>
            <w:r w:rsidR="0089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1y3</w:t>
            </w:r>
          </w:p>
        </w:tc>
        <w:tc>
          <w:tcPr>
            <w:tcW w:w="3186" w:type="dxa"/>
            <w:shd w:val="clear" w:color="auto" w:fill="FFFFFF" w:themeFill="background1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5">
              <w:rPr>
                <w:rFonts w:ascii="Times New Roman" w:hAnsi="Times New Roman" w:cs="Times New Roman"/>
                <w:sz w:val="24"/>
                <w:szCs w:val="24"/>
              </w:rPr>
              <w:t>Ud.1</w:t>
            </w:r>
            <w:r w:rsidR="00FC7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La iniciativa emprendedora”</w:t>
            </w:r>
          </w:p>
        </w:tc>
        <w:tc>
          <w:tcPr>
            <w:tcW w:w="893" w:type="dxa"/>
            <w:gridSpan w:val="2"/>
            <w:vMerge w:val="restart"/>
            <w:shd w:val="clear" w:color="auto" w:fill="FFFFFF" w:themeFill="background1"/>
            <w:vAlign w:val="center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583" w:type="dxa"/>
            <w:vMerge w:val="restart"/>
            <w:shd w:val="clear" w:color="auto" w:fill="FFFFFF" w:themeFill="background1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96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Escrita: 50%</w:t>
            </w:r>
          </w:p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Actividades:15%</w:t>
            </w:r>
          </w:p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Entrega libreta: 5%</w:t>
            </w:r>
          </w:p>
          <w:p w:rsidR="00C96FC9" w:rsidRPr="00574BC0" w:rsidRDefault="00C96FC9" w:rsidP="00964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Plan de empresa: 30%</w:t>
            </w:r>
          </w:p>
        </w:tc>
      </w:tr>
      <w:tr w:rsidR="00964F6C" w:rsidRPr="00574BC0" w:rsidTr="00CE4376">
        <w:tc>
          <w:tcPr>
            <w:tcW w:w="1563" w:type="dxa"/>
            <w:vMerge/>
            <w:shd w:val="clear" w:color="auto" w:fill="FFFFFF" w:themeFill="background1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R.A.</w:t>
            </w:r>
            <w:r w:rsidR="0089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1,2 y 3</w:t>
            </w:r>
          </w:p>
        </w:tc>
        <w:tc>
          <w:tcPr>
            <w:tcW w:w="3186" w:type="dxa"/>
            <w:shd w:val="clear" w:color="auto" w:fill="FFFFFF" w:themeFill="background1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5">
              <w:rPr>
                <w:rFonts w:ascii="Times New Roman" w:hAnsi="Times New Roman" w:cs="Times New Roman"/>
                <w:sz w:val="24"/>
                <w:szCs w:val="24"/>
              </w:rPr>
              <w:t>Ud.2</w:t>
            </w:r>
            <w:r w:rsidR="00FC7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El mercado”</w:t>
            </w:r>
          </w:p>
        </w:tc>
        <w:tc>
          <w:tcPr>
            <w:tcW w:w="893" w:type="dxa"/>
            <w:gridSpan w:val="2"/>
            <w:vMerge/>
            <w:shd w:val="clear" w:color="auto" w:fill="FFFFFF" w:themeFill="background1"/>
            <w:vAlign w:val="center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FFFFFF" w:themeFill="background1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6C" w:rsidRPr="00574BC0" w:rsidTr="00CE4376">
        <w:trPr>
          <w:trHeight w:val="302"/>
        </w:trPr>
        <w:tc>
          <w:tcPr>
            <w:tcW w:w="1563" w:type="dxa"/>
            <w:vMerge/>
            <w:shd w:val="clear" w:color="auto" w:fill="FFFFFF" w:themeFill="background1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96FC9" w:rsidRPr="00574BC0" w:rsidRDefault="00C96FC9" w:rsidP="00964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R.A.</w:t>
            </w:r>
            <w:r w:rsidR="0089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2 y 3</w:t>
            </w:r>
          </w:p>
        </w:tc>
        <w:tc>
          <w:tcPr>
            <w:tcW w:w="3186" w:type="dxa"/>
            <w:shd w:val="clear" w:color="auto" w:fill="FFFFFF" w:themeFill="background1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5">
              <w:rPr>
                <w:rFonts w:ascii="Times New Roman" w:hAnsi="Times New Roman" w:cs="Times New Roman"/>
                <w:sz w:val="24"/>
                <w:szCs w:val="24"/>
              </w:rPr>
              <w:t>Ud.3</w:t>
            </w:r>
            <w:r w:rsidR="00FC7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El entorno de la empresa”</w:t>
            </w:r>
          </w:p>
        </w:tc>
        <w:tc>
          <w:tcPr>
            <w:tcW w:w="893" w:type="dxa"/>
            <w:gridSpan w:val="2"/>
            <w:vMerge/>
            <w:shd w:val="clear" w:color="auto" w:fill="FFFFFF" w:themeFill="background1"/>
            <w:vAlign w:val="center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FFFFFF" w:themeFill="background1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6C" w:rsidRPr="00574BC0" w:rsidTr="00CE4376">
        <w:trPr>
          <w:trHeight w:val="267"/>
        </w:trPr>
        <w:tc>
          <w:tcPr>
            <w:tcW w:w="1563" w:type="dxa"/>
            <w:vMerge/>
            <w:shd w:val="clear" w:color="auto" w:fill="FFFFFF" w:themeFill="background1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R.A.</w:t>
            </w:r>
            <w:r w:rsidR="0089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2y3</w:t>
            </w:r>
          </w:p>
        </w:tc>
        <w:tc>
          <w:tcPr>
            <w:tcW w:w="3186" w:type="dxa"/>
            <w:shd w:val="clear" w:color="auto" w:fill="FFFFFF" w:themeFill="background1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5">
              <w:rPr>
                <w:rFonts w:ascii="Times New Roman" w:hAnsi="Times New Roman" w:cs="Times New Roman"/>
                <w:sz w:val="24"/>
                <w:szCs w:val="24"/>
              </w:rPr>
              <w:t>Ud.4</w:t>
            </w: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 xml:space="preserve"> “El marketing”</w:t>
            </w:r>
          </w:p>
        </w:tc>
        <w:tc>
          <w:tcPr>
            <w:tcW w:w="893" w:type="dxa"/>
            <w:gridSpan w:val="2"/>
            <w:vMerge w:val="restart"/>
            <w:shd w:val="clear" w:color="auto" w:fill="FFFFFF" w:themeFill="background1"/>
            <w:vAlign w:val="center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583" w:type="dxa"/>
            <w:vMerge w:val="restart"/>
            <w:shd w:val="clear" w:color="auto" w:fill="FFFFFF" w:themeFill="background1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96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Escrita: 50%</w:t>
            </w:r>
          </w:p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Actividades:15%</w:t>
            </w:r>
          </w:p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Entrega libreta: 5%</w:t>
            </w:r>
          </w:p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Plan de empresa: 30%</w:t>
            </w:r>
          </w:p>
        </w:tc>
      </w:tr>
      <w:tr w:rsidR="00964F6C" w:rsidRPr="00574BC0" w:rsidTr="00964F6C">
        <w:trPr>
          <w:trHeight w:val="267"/>
        </w:trPr>
        <w:tc>
          <w:tcPr>
            <w:tcW w:w="1563" w:type="dxa"/>
            <w:vMerge/>
            <w:shd w:val="clear" w:color="auto" w:fill="FFFFFF" w:themeFill="background1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R.A.</w:t>
            </w:r>
            <w:r w:rsidR="0089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2y3</w:t>
            </w:r>
          </w:p>
        </w:tc>
        <w:tc>
          <w:tcPr>
            <w:tcW w:w="3186" w:type="dxa"/>
            <w:shd w:val="clear" w:color="auto" w:fill="FFFFFF" w:themeFill="background1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D5">
              <w:rPr>
                <w:rFonts w:ascii="Times New Roman" w:hAnsi="Times New Roman" w:cs="Times New Roman"/>
                <w:sz w:val="24"/>
                <w:szCs w:val="24"/>
              </w:rPr>
              <w:t>Ud.5</w:t>
            </w: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 xml:space="preserve"> “Recursos Humanos”</w:t>
            </w:r>
          </w:p>
        </w:tc>
        <w:tc>
          <w:tcPr>
            <w:tcW w:w="893" w:type="dxa"/>
            <w:gridSpan w:val="2"/>
            <w:vMerge/>
            <w:shd w:val="clear" w:color="auto" w:fill="FFFFFF" w:themeFill="background1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FFFFFF" w:themeFill="background1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C9" w:rsidRPr="00574BC0" w:rsidTr="00CE4376">
        <w:tc>
          <w:tcPr>
            <w:tcW w:w="1563" w:type="dxa"/>
            <w:vMerge w:val="restart"/>
            <w:shd w:val="clear" w:color="auto" w:fill="D9D9D9" w:themeFill="background1" w:themeFillShade="D9"/>
            <w:vAlign w:val="center"/>
          </w:tcPr>
          <w:p w:rsidR="00C96FC9" w:rsidRPr="00574BC0" w:rsidRDefault="00964F6C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96FC9" w:rsidRPr="00574BC0" w:rsidRDefault="00C96FC9" w:rsidP="00CE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R.A.</w:t>
            </w:r>
            <w:r w:rsidR="0089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2Y3</w:t>
            </w:r>
          </w:p>
        </w:tc>
        <w:tc>
          <w:tcPr>
            <w:tcW w:w="3186" w:type="dxa"/>
            <w:tcBorders>
              <w:right w:val="nil"/>
            </w:tcBorders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Ud.6 “Formas jurídicas”</w:t>
            </w:r>
          </w:p>
        </w:tc>
        <w:tc>
          <w:tcPr>
            <w:tcW w:w="234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583" w:type="dxa"/>
            <w:vMerge w:val="restart"/>
            <w:shd w:val="clear" w:color="auto" w:fill="D9D9D9" w:themeFill="background1" w:themeFillShade="D9"/>
          </w:tcPr>
          <w:p w:rsidR="0013628F" w:rsidRPr="00574BC0" w:rsidRDefault="0013628F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FC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Escrita: 50%</w:t>
            </w:r>
          </w:p>
          <w:p w:rsidR="0013628F" w:rsidRPr="00574BC0" w:rsidRDefault="0013628F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Actividades:15%</w:t>
            </w:r>
          </w:p>
          <w:p w:rsidR="0013628F" w:rsidRPr="00574BC0" w:rsidRDefault="0013628F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Entrega libreta: 5%</w:t>
            </w:r>
          </w:p>
          <w:p w:rsidR="00C96FC9" w:rsidRPr="00574BC0" w:rsidRDefault="0013628F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Plan de empresa: 30%</w:t>
            </w:r>
          </w:p>
        </w:tc>
      </w:tr>
      <w:tr w:rsidR="00C96FC9" w:rsidRPr="00574BC0" w:rsidTr="00CE4376">
        <w:trPr>
          <w:trHeight w:val="272"/>
        </w:trPr>
        <w:tc>
          <w:tcPr>
            <w:tcW w:w="1563" w:type="dxa"/>
            <w:vMerge/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R.A.</w:t>
            </w:r>
            <w:r w:rsidR="0089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2Y3</w:t>
            </w:r>
          </w:p>
        </w:tc>
        <w:tc>
          <w:tcPr>
            <w:tcW w:w="3186" w:type="dxa"/>
            <w:tcBorders>
              <w:right w:val="nil"/>
            </w:tcBorders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Ud.7 “El plan de producción”</w:t>
            </w: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C9" w:rsidRPr="00574BC0" w:rsidTr="00CE4376">
        <w:trPr>
          <w:trHeight w:val="509"/>
        </w:trPr>
        <w:tc>
          <w:tcPr>
            <w:tcW w:w="1563" w:type="dxa"/>
            <w:vMerge/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R.A.</w:t>
            </w:r>
            <w:r w:rsidR="0089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2Y3</w:t>
            </w:r>
          </w:p>
        </w:tc>
        <w:tc>
          <w:tcPr>
            <w:tcW w:w="3186" w:type="dxa"/>
            <w:tcBorders>
              <w:right w:val="nil"/>
            </w:tcBorders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Ud.8 “Inversión y Financiación”</w:t>
            </w: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C9" w:rsidRPr="00574BC0" w:rsidTr="00CE4376">
        <w:trPr>
          <w:trHeight w:val="480"/>
        </w:trPr>
        <w:tc>
          <w:tcPr>
            <w:tcW w:w="1563" w:type="dxa"/>
            <w:vMerge/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R.A.</w:t>
            </w:r>
            <w:r w:rsidR="0089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2,3Y4</w:t>
            </w:r>
          </w:p>
        </w:tc>
        <w:tc>
          <w:tcPr>
            <w:tcW w:w="3186" w:type="dxa"/>
            <w:tcBorders>
              <w:right w:val="nil"/>
            </w:tcBorders>
            <w:shd w:val="clear" w:color="auto" w:fill="D9D9D9" w:themeFill="background1" w:themeFillShade="D9"/>
          </w:tcPr>
          <w:p w:rsidR="00C96FC9" w:rsidRPr="00574BC0" w:rsidRDefault="00C96FC9" w:rsidP="00CE4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Ud.9</w:t>
            </w:r>
            <w:r w:rsidR="00FC770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FC7702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lisis contable y financiero”</w:t>
            </w:r>
          </w:p>
        </w:tc>
        <w:tc>
          <w:tcPr>
            <w:tcW w:w="234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583" w:type="dxa"/>
            <w:vMerge w:val="restart"/>
            <w:shd w:val="clear" w:color="auto" w:fill="D9D9D9" w:themeFill="background1" w:themeFillShade="D9"/>
          </w:tcPr>
          <w:p w:rsidR="0013628F" w:rsidRPr="00574BC0" w:rsidRDefault="0013628F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FC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Escrita: 50%</w:t>
            </w:r>
          </w:p>
          <w:p w:rsidR="0013628F" w:rsidRPr="00574BC0" w:rsidRDefault="0013628F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Actividades:15%</w:t>
            </w:r>
          </w:p>
          <w:p w:rsidR="0013628F" w:rsidRPr="00574BC0" w:rsidRDefault="0013628F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Entrega libreta: 5%</w:t>
            </w:r>
          </w:p>
          <w:p w:rsidR="00C96FC9" w:rsidRPr="00574BC0" w:rsidRDefault="0013628F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Plan de empresa: 30%</w:t>
            </w:r>
          </w:p>
        </w:tc>
      </w:tr>
      <w:tr w:rsidR="00C96FC9" w:rsidRPr="00574BC0" w:rsidTr="00964F6C">
        <w:trPr>
          <w:trHeight w:val="356"/>
        </w:trPr>
        <w:tc>
          <w:tcPr>
            <w:tcW w:w="1563" w:type="dxa"/>
            <w:vMerge/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b/>
                <w:sz w:val="24"/>
                <w:szCs w:val="24"/>
              </w:rPr>
              <w:t>R.A. 3y4</w:t>
            </w:r>
          </w:p>
        </w:tc>
        <w:tc>
          <w:tcPr>
            <w:tcW w:w="3186" w:type="dxa"/>
            <w:tcBorders>
              <w:right w:val="nil"/>
            </w:tcBorders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Ud.10</w:t>
            </w:r>
            <w:r w:rsidR="00FC770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574BC0">
              <w:rPr>
                <w:rFonts w:ascii="Times New Roman" w:hAnsi="Times New Roman" w:cs="Times New Roman"/>
                <w:sz w:val="24"/>
                <w:szCs w:val="24"/>
              </w:rPr>
              <w:t>Gestión contable, administrativa y fiscal”</w:t>
            </w: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D9D9D9" w:themeFill="background1" w:themeFillShade="D9"/>
          </w:tcPr>
          <w:p w:rsidR="00C96FC9" w:rsidRPr="00574BC0" w:rsidRDefault="00C96FC9" w:rsidP="0057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D64" w:rsidRDefault="007E1D64" w:rsidP="0060401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574BC0">
        <w:rPr>
          <w:rFonts w:ascii="Times New Roman" w:hAnsi="Times New Roman" w:cs="Times New Roman"/>
          <w:sz w:val="24"/>
          <w:szCs w:val="24"/>
        </w:rPr>
        <w:t>La calificación final se hará considerando</w:t>
      </w:r>
      <w:r w:rsidR="00BC0C73" w:rsidRPr="00574BC0">
        <w:rPr>
          <w:rFonts w:ascii="Times New Roman" w:hAnsi="Times New Roman" w:cs="Times New Roman"/>
          <w:sz w:val="24"/>
          <w:szCs w:val="24"/>
        </w:rPr>
        <w:t xml:space="preserve"> la media aritmética de los dos</w:t>
      </w:r>
      <w:r w:rsidRPr="00574BC0">
        <w:rPr>
          <w:rFonts w:ascii="Times New Roman" w:hAnsi="Times New Roman" w:cs="Times New Roman"/>
          <w:sz w:val="24"/>
          <w:szCs w:val="24"/>
        </w:rPr>
        <w:t xml:space="preserve"> trimestres</w:t>
      </w:r>
    </w:p>
    <w:p w:rsidR="00384388" w:rsidRDefault="00384388" w:rsidP="0057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388">
        <w:rPr>
          <w:rFonts w:ascii="Times New Roman" w:hAnsi="Times New Roman" w:cs="Times New Roman"/>
          <w:sz w:val="24"/>
          <w:szCs w:val="24"/>
        </w:rPr>
        <w:t>MECANISMOS DE RECUPERACIÓN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BA2" w:rsidRPr="00865BA2" w:rsidRDefault="00103951" w:rsidP="00574BC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865BA2">
        <w:rPr>
          <w:rFonts w:ascii="Times New Roman" w:hAnsi="Times New Roman" w:cs="Times New Roman"/>
          <w:sz w:val="24"/>
          <w:szCs w:val="24"/>
        </w:rPr>
        <w:t xml:space="preserve"> la prueba escrita</w:t>
      </w:r>
      <w:r w:rsidR="00006D6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</w:t>
      </w:r>
      <w:r w:rsidR="00006D67">
        <w:rPr>
          <w:rFonts w:ascii="Times New Roman" w:hAnsi="Times New Roman" w:cs="Times New Roman"/>
          <w:sz w:val="24"/>
          <w:szCs w:val="24"/>
        </w:rPr>
        <w:t xml:space="preserve"> har</w:t>
      </w:r>
      <w:r w:rsidR="006019A7">
        <w:rPr>
          <w:rFonts w:ascii="Times New Roman" w:hAnsi="Times New Roman" w:cs="Times New Roman"/>
          <w:sz w:val="24"/>
          <w:szCs w:val="24"/>
        </w:rPr>
        <w:t>á</w:t>
      </w:r>
      <w:r w:rsidR="00865BA2">
        <w:rPr>
          <w:rFonts w:ascii="Times New Roman" w:hAnsi="Times New Roman" w:cs="Times New Roman"/>
          <w:sz w:val="24"/>
          <w:szCs w:val="24"/>
        </w:rPr>
        <w:t xml:space="preserve"> media a partir de 4 en cada parcial, SIEMPRE que la nota media de la evaluación SUME UN MÍNIMO DE 5. </w:t>
      </w:r>
    </w:p>
    <w:p w:rsidR="00CA4B63" w:rsidRPr="00574BC0" w:rsidRDefault="00CA4B63" w:rsidP="00574BC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C0">
        <w:rPr>
          <w:rFonts w:ascii="Times New Roman" w:hAnsi="Times New Roman" w:cs="Times New Roman"/>
          <w:sz w:val="24"/>
          <w:szCs w:val="24"/>
        </w:rPr>
        <w:t>Al finalizar cada evaluación, si el alumnado ha suspendido podrá hacer una prueba con la parte suspensa para recuperarla. Prueba que se realizará al finalizar el trimestre o al inicio del siguiente. Según acuerdo de la profesora y el alumnado.</w:t>
      </w:r>
      <w:r w:rsidR="00384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B63" w:rsidRPr="00E62848" w:rsidRDefault="00CA4B63" w:rsidP="00E6284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C0">
        <w:rPr>
          <w:rFonts w:ascii="Times New Roman" w:hAnsi="Times New Roman" w:cs="Times New Roman"/>
          <w:sz w:val="24"/>
          <w:szCs w:val="24"/>
        </w:rPr>
        <w:t>Para el alumnado que en</w:t>
      </w:r>
      <w:r w:rsidR="002C5E2D">
        <w:rPr>
          <w:rFonts w:ascii="Times New Roman" w:hAnsi="Times New Roman" w:cs="Times New Roman"/>
          <w:sz w:val="24"/>
          <w:szCs w:val="24"/>
        </w:rPr>
        <w:t xml:space="preserve"> marzo</w:t>
      </w:r>
      <w:r w:rsidRPr="00574BC0">
        <w:rPr>
          <w:rFonts w:ascii="Times New Roman" w:hAnsi="Times New Roman" w:cs="Times New Roman"/>
          <w:sz w:val="24"/>
          <w:szCs w:val="24"/>
        </w:rPr>
        <w:t xml:space="preserve"> tenga una</w:t>
      </w:r>
      <w:r w:rsidR="002C5E2D">
        <w:rPr>
          <w:rFonts w:ascii="Times New Roman" w:hAnsi="Times New Roman" w:cs="Times New Roman"/>
          <w:sz w:val="24"/>
          <w:szCs w:val="24"/>
        </w:rPr>
        <w:t xml:space="preserve"> o</w:t>
      </w:r>
      <w:r w:rsidRPr="00574BC0">
        <w:rPr>
          <w:rFonts w:ascii="Times New Roman" w:hAnsi="Times New Roman" w:cs="Times New Roman"/>
          <w:sz w:val="24"/>
          <w:szCs w:val="24"/>
        </w:rPr>
        <w:t xml:space="preserve"> dos evaluaciones suspensas, habrá una prueba final en la que podrá recuperar la</w:t>
      </w:r>
      <w:r w:rsidR="00103951">
        <w:rPr>
          <w:rFonts w:ascii="Times New Roman" w:hAnsi="Times New Roman" w:cs="Times New Roman"/>
          <w:sz w:val="24"/>
          <w:szCs w:val="24"/>
        </w:rPr>
        <w:t>/s</w:t>
      </w:r>
      <w:r w:rsidR="002C5E2D">
        <w:rPr>
          <w:rFonts w:ascii="Times New Roman" w:hAnsi="Times New Roman" w:cs="Times New Roman"/>
          <w:sz w:val="24"/>
          <w:szCs w:val="24"/>
        </w:rPr>
        <w:t xml:space="preserve"> evaluaci</w:t>
      </w:r>
      <w:r w:rsidR="00103951">
        <w:rPr>
          <w:rFonts w:ascii="Times New Roman" w:hAnsi="Times New Roman" w:cs="Times New Roman"/>
          <w:sz w:val="24"/>
          <w:szCs w:val="24"/>
        </w:rPr>
        <w:t>ón/es</w:t>
      </w:r>
      <w:r w:rsidR="002C5E2D">
        <w:rPr>
          <w:rFonts w:ascii="Times New Roman" w:hAnsi="Times New Roman" w:cs="Times New Roman"/>
          <w:sz w:val="24"/>
          <w:szCs w:val="24"/>
        </w:rPr>
        <w:t xml:space="preserve"> suspensa</w:t>
      </w:r>
      <w:r w:rsidR="00103951">
        <w:rPr>
          <w:rFonts w:ascii="Times New Roman" w:hAnsi="Times New Roman" w:cs="Times New Roman"/>
          <w:sz w:val="24"/>
          <w:szCs w:val="24"/>
        </w:rPr>
        <w:t>/</w:t>
      </w:r>
      <w:r w:rsidR="002C5E2D">
        <w:rPr>
          <w:rFonts w:ascii="Times New Roman" w:hAnsi="Times New Roman" w:cs="Times New Roman"/>
          <w:sz w:val="24"/>
          <w:szCs w:val="24"/>
        </w:rPr>
        <w:t>s</w:t>
      </w:r>
      <w:r w:rsidR="00384388">
        <w:rPr>
          <w:rFonts w:ascii="Times New Roman" w:hAnsi="Times New Roman" w:cs="Times New Roman"/>
          <w:sz w:val="24"/>
          <w:szCs w:val="24"/>
        </w:rPr>
        <w:t>.</w:t>
      </w:r>
    </w:p>
    <w:p w:rsidR="00CA4B63" w:rsidRPr="00574BC0" w:rsidRDefault="00CA4B63" w:rsidP="00574BC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C0">
        <w:rPr>
          <w:rFonts w:ascii="Times New Roman" w:hAnsi="Times New Roman" w:cs="Times New Roman"/>
          <w:sz w:val="24"/>
          <w:szCs w:val="24"/>
        </w:rPr>
        <w:t>La calificación final será la nota obtenida en el examen correspondiente.</w:t>
      </w:r>
    </w:p>
    <w:p w:rsidR="00CE4376" w:rsidRDefault="00CE4376" w:rsidP="00CE4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BF3" w:rsidRPr="00895BF3" w:rsidRDefault="00895BF3" w:rsidP="00CE4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BF3">
        <w:rPr>
          <w:rFonts w:ascii="Times New Roman" w:hAnsi="Times New Roman" w:cs="Times New Roman"/>
          <w:b/>
          <w:sz w:val="24"/>
          <w:szCs w:val="24"/>
        </w:rPr>
        <w:t>Evaluación Final (junio).</w:t>
      </w:r>
    </w:p>
    <w:p w:rsidR="00CE4376" w:rsidRPr="003C3ABE" w:rsidRDefault="00CE4376" w:rsidP="00CE4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0401C" w:rsidRDefault="00CE4376" w:rsidP="00CE4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C3A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Aquellos/as alumnos/as que tuviesen que recuperar el módulo en convocatoria </w:t>
      </w:r>
      <w:r w:rsidR="00390418">
        <w:rPr>
          <w:rFonts w:ascii="Times New Roman" w:eastAsia="Times New Roman" w:hAnsi="Times New Roman" w:cs="Times New Roman"/>
          <w:spacing w:val="-2"/>
          <w:sz w:val="24"/>
          <w:szCs w:val="24"/>
        </w:rPr>
        <w:t>final</w:t>
      </w:r>
      <w:r w:rsidRPr="003C3A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se les </w:t>
      </w:r>
      <w:r w:rsidR="003843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realizará una prueba escrita de las evaluaciones no superadas. Se sugerirán </w:t>
      </w:r>
      <w:r w:rsidRPr="003C3A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una serie de actividades de recuperación relacionadas con los contenidos del módulo, así como la realización o mejora del plan de empresa, si no lo </w:t>
      </w:r>
      <w:r w:rsidR="00384388" w:rsidRPr="003C3ABE">
        <w:rPr>
          <w:rFonts w:ascii="Times New Roman" w:eastAsia="Times New Roman" w:hAnsi="Times New Roman" w:cs="Times New Roman"/>
          <w:spacing w:val="-2"/>
          <w:sz w:val="24"/>
          <w:szCs w:val="24"/>
        </w:rPr>
        <w:t>hubie</w:t>
      </w:r>
      <w:r w:rsidR="003843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sen </w:t>
      </w:r>
      <w:r w:rsidR="00384388" w:rsidRPr="003C3ABE">
        <w:rPr>
          <w:rFonts w:ascii="Times New Roman" w:eastAsia="Times New Roman" w:hAnsi="Times New Roman" w:cs="Times New Roman"/>
          <w:spacing w:val="-2"/>
          <w:sz w:val="24"/>
          <w:szCs w:val="24"/>
        </w:rPr>
        <w:t>presentado</w:t>
      </w:r>
      <w:r w:rsidRPr="003C3A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en su momento, o </w:t>
      </w:r>
      <w:r w:rsidR="003843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éste </w:t>
      </w:r>
      <w:r w:rsidRPr="003C3A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fuera </w:t>
      </w:r>
      <w:r w:rsidR="00384388">
        <w:rPr>
          <w:rFonts w:ascii="Times New Roman" w:eastAsia="Times New Roman" w:hAnsi="Times New Roman" w:cs="Times New Roman"/>
          <w:spacing w:val="-2"/>
          <w:sz w:val="24"/>
          <w:szCs w:val="24"/>
        </w:rPr>
        <w:t>inadecuado</w:t>
      </w:r>
      <w:r w:rsidRPr="003C3A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Los criterios de calificación serán los mismos que </w:t>
      </w:r>
      <w:r w:rsidR="00895B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para el resto de </w:t>
      </w:r>
      <w:r w:rsidR="001039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las </w:t>
      </w:r>
      <w:r w:rsidR="00895BF3">
        <w:rPr>
          <w:rFonts w:ascii="Times New Roman" w:eastAsia="Times New Roman" w:hAnsi="Times New Roman" w:cs="Times New Roman"/>
          <w:spacing w:val="-2"/>
          <w:sz w:val="24"/>
          <w:szCs w:val="24"/>
        </w:rPr>
        <w:t>evaluaciones</w:t>
      </w:r>
      <w:r w:rsidR="00F933A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C3A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CE4376" w:rsidRPr="00627CC1" w:rsidRDefault="00F933AA" w:rsidP="00CE4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El alumno d</w:t>
      </w:r>
      <w:r w:rsidR="00CE4376" w:rsidRPr="003C3A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eberá obtener un mínimo de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5 </w:t>
      </w:r>
      <w:r w:rsidR="00CE4376" w:rsidRPr="003C3ABE">
        <w:rPr>
          <w:rFonts w:ascii="Times New Roman" w:eastAsia="Times New Roman" w:hAnsi="Times New Roman" w:cs="Times New Roman"/>
          <w:spacing w:val="-2"/>
          <w:sz w:val="24"/>
          <w:szCs w:val="24"/>
        </w:rPr>
        <w:t>puntos sobre 10 en las pruebas escritas</w:t>
      </w:r>
      <w:r w:rsidR="008509AB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CE4376" w:rsidRPr="003C3A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para</w:t>
      </w:r>
      <w:r w:rsidR="008509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poder</w:t>
      </w:r>
      <w:r w:rsidR="00CE4376" w:rsidRPr="003C3AB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hacer media con el resto de criterios de calificación.</w:t>
      </w:r>
    </w:p>
    <w:p w:rsidR="00CE4376" w:rsidRPr="00627CC1" w:rsidRDefault="00CE4376" w:rsidP="00CE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135B2" w:rsidRPr="00574BC0" w:rsidRDefault="00A135B2" w:rsidP="00A135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135B2" w:rsidRPr="00574BC0" w:rsidRDefault="00A135B2" w:rsidP="00A135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A135B2" w:rsidRPr="00574BC0" w:rsidSect="0060401C">
      <w:pgSz w:w="11906" w:h="16838"/>
      <w:pgMar w:top="1021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96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5C871E5"/>
    <w:multiLevelType w:val="hybridMultilevel"/>
    <w:tmpl w:val="37B0D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7D2C"/>
    <w:multiLevelType w:val="multilevel"/>
    <w:tmpl w:val="847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E0B"/>
    <w:multiLevelType w:val="hybridMultilevel"/>
    <w:tmpl w:val="E7682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45EB"/>
    <w:multiLevelType w:val="hybridMultilevel"/>
    <w:tmpl w:val="F30E00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706D"/>
    <w:multiLevelType w:val="hybridMultilevel"/>
    <w:tmpl w:val="A48AD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282F"/>
    <w:multiLevelType w:val="hybridMultilevel"/>
    <w:tmpl w:val="DE8AEBD0"/>
    <w:lvl w:ilvl="0" w:tplc="F49451A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361DD6"/>
    <w:multiLevelType w:val="hybridMultilevel"/>
    <w:tmpl w:val="38440A66"/>
    <w:lvl w:ilvl="0" w:tplc="7E002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F7485"/>
    <w:multiLevelType w:val="hybridMultilevel"/>
    <w:tmpl w:val="C6DED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C61D7"/>
    <w:multiLevelType w:val="hybridMultilevel"/>
    <w:tmpl w:val="7C7AC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521A5"/>
    <w:multiLevelType w:val="hybridMultilevel"/>
    <w:tmpl w:val="FAD6AA5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48580E"/>
    <w:multiLevelType w:val="hybridMultilevel"/>
    <w:tmpl w:val="9D321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E2EEC"/>
    <w:multiLevelType w:val="hybridMultilevel"/>
    <w:tmpl w:val="ECF2915E"/>
    <w:lvl w:ilvl="0" w:tplc="2EF6D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F2FEC"/>
    <w:multiLevelType w:val="hybridMultilevel"/>
    <w:tmpl w:val="449A4A9A"/>
    <w:lvl w:ilvl="0" w:tplc="7E002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D5ADF"/>
    <w:multiLevelType w:val="hybridMultilevel"/>
    <w:tmpl w:val="D4707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FA"/>
    <w:rsid w:val="00006D67"/>
    <w:rsid w:val="00023658"/>
    <w:rsid w:val="00031AAE"/>
    <w:rsid w:val="00032BD7"/>
    <w:rsid w:val="000775F0"/>
    <w:rsid w:val="000A74B0"/>
    <w:rsid w:val="000B28BB"/>
    <w:rsid w:val="00103951"/>
    <w:rsid w:val="0012373E"/>
    <w:rsid w:val="0013628F"/>
    <w:rsid w:val="00154A87"/>
    <w:rsid w:val="00160844"/>
    <w:rsid w:val="00174E61"/>
    <w:rsid w:val="00183236"/>
    <w:rsid w:val="00183CC0"/>
    <w:rsid w:val="001B4927"/>
    <w:rsid w:val="001D344B"/>
    <w:rsid w:val="001D4479"/>
    <w:rsid w:val="001E6442"/>
    <w:rsid w:val="001F0BFD"/>
    <w:rsid w:val="0024190A"/>
    <w:rsid w:val="002450F7"/>
    <w:rsid w:val="00267484"/>
    <w:rsid w:val="00272438"/>
    <w:rsid w:val="00276F07"/>
    <w:rsid w:val="002B31EE"/>
    <w:rsid w:val="002B6E8F"/>
    <w:rsid w:val="002C5E2D"/>
    <w:rsid w:val="003111E9"/>
    <w:rsid w:val="003246CF"/>
    <w:rsid w:val="00332CD5"/>
    <w:rsid w:val="003803AD"/>
    <w:rsid w:val="003820BF"/>
    <w:rsid w:val="00384388"/>
    <w:rsid w:val="00390418"/>
    <w:rsid w:val="003D5332"/>
    <w:rsid w:val="003E26FA"/>
    <w:rsid w:val="00404A83"/>
    <w:rsid w:val="00406559"/>
    <w:rsid w:val="00425983"/>
    <w:rsid w:val="0048347F"/>
    <w:rsid w:val="0048794E"/>
    <w:rsid w:val="00491957"/>
    <w:rsid w:val="004933E2"/>
    <w:rsid w:val="004B1860"/>
    <w:rsid w:val="004B2AE5"/>
    <w:rsid w:val="004D4ED9"/>
    <w:rsid w:val="004D7962"/>
    <w:rsid w:val="005067DF"/>
    <w:rsid w:val="0054002E"/>
    <w:rsid w:val="00553AB2"/>
    <w:rsid w:val="005566AE"/>
    <w:rsid w:val="00574BC0"/>
    <w:rsid w:val="00581AE5"/>
    <w:rsid w:val="00582EFC"/>
    <w:rsid w:val="00590654"/>
    <w:rsid w:val="005932F2"/>
    <w:rsid w:val="005D71FF"/>
    <w:rsid w:val="005E4C57"/>
    <w:rsid w:val="006019A7"/>
    <w:rsid w:val="00602348"/>
    <w:rsid w:val="0060401C"/>
    <w:rsid w:val="0062034B"/>
    <w:rsid w:val="00623A3F"/>
    <w:rsid w:val="006247FB"/>
    <w:rsid w:val="0064551A"/>
    <w:rsid w:val="006469A2"/>
    <w:rsid w:val="00685394"/>
    <w:rsid w:val="00690D0C"/>
    <w:rsid w:val="006B20B5"/>
    <w:rsid w:val="006E00B1"/>
    <w:rsid w:val="0070597E"/>
    <w:rsid w:val="00761B92"/>
    <w:rsid w:val="00785EC9"/>
    <w:rsid w:val="007D3AFA"/>
    <w:rsid w:val="007E1D64"/>
    <w:rsid w:val="007E5BBA"/>
    <w:rsid w:val="00830E1B"/>
    <w:rsid w:val="008509AB"/>
    <w:rsid w:val="00865BA2"/>
    <w:rsid w:val="008809F5"/>
    <w:rsid w:val="00885D48"/>
    <w:rsid w:val="00892EAF"/>
    <w:rsid w:val="00895BF3"/>
    <w:rsid w:val="008D0D0E"/>
    <w:rsid w:val="008D5D71"/>
    <w:rsid w:val="0090507A"/>
    <w:rsid w:val="00924E72"/>
    <w:rsid w:val="00930AFE"/>
    <w:rsid w:val="00964F6C"/>
    <w:rsid w:val="00970371"/>
    <w:rsid w:val="009E5F5D"/>
    <w:rsid w:val="009E7E84"/>
    <w:rsid w:val="00A04682"/>
    <w:rsid w:val="00A135B2"/>
    <w:rsid w:val="00A316DE"/>
    <w:rsid w:val="00A34325"/>
    <w:rsid w:val="00A42348"/>
    <w:rsid w:val="00A825E9"/>
    <w:rsid w:val="00A912FF"/>
    <w:rsid w:val="00A9618F"/>
    <w:rsid w:val="00AB0AFE"/>
    <w:rsid w:val="00AE2D1B"/>
    <w:rsid w:val="00B04FC4"/>
    <w:rsid w:val="00B30A5F"/>
    <w:rsid w:val="00B475B4"/>
    <w:rsid w:val="00B76C32"/>
    <w:rsid w:val="00B95CDA"/>
    <w:rsid w:val="00B961C6"/>
    <w:rsid w:val="00BA0CE0"/>
    <w:rsid w:val="00BB550B"/>
    <w:rsid w:val="00BC0C73"/>
    <w:rsid w:val="00BE3770"/>
    <w:rsid w:val="00C0373F"/>
    <w:rsid w:val="00C15B1F"/>
    <w:rsid w:val="00C22C3A"/>
    <w:rsid w:val="00C4210A"/>
    <w:rsid w:val="00C4371A"/>
    <w:rsid w:val="00C64974"/>
    <w:rsid w:val="00C96FC9"/>
    <w:rsid w:val="00CA4B63"/>
    <w:rsid w:val="00CD636B"/>
    <w:rsid w:val="00CE4376"/>
    <w:rsid w:val="00CF1E3E"/>
    <w:rsid w:val="00D040EE"/>
    <w:rsid w:val="00D111A9"/>
    <w:rsid w:val="00D37E8B"/>
    <w:rsid w:val="00D44EB5"/>
    <w:rsid w:val="00DA4D08"/>
    <w:rsid w:val="00DC40C7"/>
    <w:rsid w:val="00DD5798"/>
    <w:rsid w:val="00DE67AF"/>
    <w:rsid w:val="00E447AB"/>
    <w:rsid w:val="00E62848"/>
    <w:rsid w:val="00E638E1"/>
    <w:rsid w:val="00EF0772"/>
    <w:rsid w:val="00EF44D4"/>
    <w:rsid w:val="00F06D7A"/>
    <w:rsid w:val="00F232DC"/>
    <w:rsid w:val="00F2359F"/>
    <w:rsid w:val="00F74654"/>
    <w:rsid w:val="00F8000A"/>
    <w:rsid w:val="00F933AA"/>
    <w:rsid w:val="00FA265C"/>
    <w:rsid w:val="00FC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3155"/>
  <w15:docId w15:val="{C74BC042-0038-4D4F-B3C4-BE333A4C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semiHidden/>
    <w:rsid w:val="007D3AFA"/>
    <w:pPr>
      <w:keepLines/>
      <w:framePr w:w="2635" w:h="1138" w:wrap="notBeside" w:vAnchor="page" w:hAnchor="margin" w:xAlign="right" w:y="678"/>
      <w:widowControl w:val="0"/>
      <w:spacing w:after="0" w:line="200" w:lineRule="auto"/>
      <w:ind w:right="-120"/>
    </w:pPr>
    <w:rPr>
      <w:rFonts w:ascii="Times New Roman" w:eastAsia="Times New Roman" w:hAnsi="Times New Roman" w:cs="Times New Roman"/>
      <w:sz w:val="16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B55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AAE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AE2D1B"/>
    <w:pPr>
      <w:suppressAutoHyphens/>
      <w:ind w:left="720"/>
    </w:pPr>
    <w:rPr>
      <w:rFonts w:ascii="Calibri" w:eastAsia="DejaVu Sans" w:hAnsi="Calibri" w:cs="font196"/>
      <w:kern w:val="1"/>
      <w:lang w:val="es-ES_tradnl" w:eastAsia="ar-SA"/>
    </w:rPr>
  </w:style>
  <w:style w:type="table" w:styleId="Tablaconcuadrcula">
    <w:name w:val="Table Grid"/>
    <w:basedOn w:val="Tablanormal"/>
    <w:uiPriority w:val="59"/>
    <w:rsid w:val="005D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825E9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rsid w:val="00A825E9"/>
    <w:rPr>
      <w:rFonts w:ascii="Calibri" w:eastAsia="Calibri" w:hAnsi="Calibri" w:cs="Times New Roman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809F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809F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DAED-B249-4634-91EE-CAA4D77E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®f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®f</dc:creator>
  <cp:lastModifiedBy>Cruz-Alfon</cp:lastModifiedBy>
  <cp:revision>29</cp:revision>
  <cp:lastPrinted>2014-09-12T08:05:00Z</cp:lastPrinted>
  <dcterms:created xsi:type="dcterms:W3CDTF">2018-09-12T17:02:00Z</dcterms:created>
  <dcterms:modified xsi:type="dcterms:W3CDTF">2018-10-16T10:36:00Z</dcterms:modified>
</cp:coreProperties>
</file>